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"/>
        <w:gridCol w:w="4679"/>
      </w:tblGrid>
      <w:tr w:rsidR="005054BB" w:rsidTr="006D195F">
        <w:tc>
          <w:tcPr>
            <w:tcW w:w="4644" w:type="dxa"/>
          </w:tcPr>
          <w:p w:rsidR="005054BB" w:rsidRPr="004A2B2D" w:rsidRDefault="005054BB" w:rsidP="006D195F">
            <w:pPr>
              <w:pStyle w:val="a3"/>
              <w:spacing w:before="0" w:beforeAutospacing="0" w:after="0" w:afterAutospacing="0" w:line="288" w:lineRule="auto"/>
              <w:textAlignment w:val="baseline"/>
              <w:rPr>
                <w:rStyle w:val="a4"/>
                <w:rFonts w:ascii="Arial" w:hAnsi="Arial" w:cs="Arial"/>
                <w:sz w:val="22"/>
                <w:bdr w:val="none" w:sz="0" w:space="0" w:color="auto" w:frame="1"/>
              </w:rPr>
            </w:pPr>
            <w:r w:rsidRPr="004A2B2D">
              <w:rPr>
                <w:rStyle w:val="a4"/>
                <w:rFonts w:ascii="Arial" w:hAnsi="Arial" w:cs="Arial"/>
                <w:sz w:val="22"/>
                <w:bdr w:val="none" w:sz="0" w:space="0" w:color="auto" w:frame="1"/>
              </w:rPr>
              <w:t>"СОГЛАСОВАНО"</w:t>
            </w:r>
          </w:p>
          <w:p w:rsidR="005054BB" w:rsidRPr="004A2B2D" w:rsidRDefault="00EF21B9" w:rsidP="00BD23A1">
            <w:pPr>
              <w:pStyle w:val="a3"/>
              <w:spacing w:before="0" w:beforeAutospacing="0" w:after="0" w:afterAutospacing="0" w:line="288" w:lineRule="auto"/>
              <w:textAlignment w:val="baseline"/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  <w:t xml:space="preserve">Глава муниципального района </w:t>
            </w:r>
            <w:r w:rsidR="00BD23A1"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  <w:t>Волжский</w:t>
            </w:r>
            <w:r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  <w:t xml:space="preserve"> Самарской области </w:t>
            </w:r>
          </w:p>
        </w:tc>
        <w:tc>
          <w:tcPr>
            <w:tcW w:w="283" w:type="dxa"/>
          </w:tcPr>
          <w:p w:rsidR="005054BB" w:rsidRPr="004A2B2D" w:rsidRDefault="005054BB" w:rsidP="006D195F">
            <w:pPr>
              <w:pStyle w:val="a3"/>
              <w:spacing w:before="0" w:beforeAutospacing="0" w:after="0" w:afterAutospacing="0" w:line="288" w:lineRule="auto"/>
              <w:textAlignment w:val="baseline"/>
              <w:rPr>
                <w:rStyle w:val="a4"/>
                <w:rFonts w:ascii="Arial" w:hAnsi="Arial" w:cs="Arial"/>
                <w:sz w:val="22"/>
                <w:bdr w:val="none" w:sz="0" w:space="0" w:color="auto" w:frame="1"/>
              </w:rPr>
            </w:pPr>
          </w:p>
        </w:tc>
        <w:tc>
          <w:tcPr>
            <w:tcW w:w="4679" w:type="dxa"/>
          </w:tcPr>
          <w:p w:rsidR="005054BB" w:rsidRPr="004A2B2D" w:rsidRDefault="005054BB" w:rsidP="006D195F">
            <w:pPr>
              <w:pStyle w:val="a3"/>
              <w:spacing w:before="0" w:beforeAutospacing="0" w:after="0" w:afterAutospacing="0" w:line="288" w:lineRule="auto"/>
              <w:textAlignment w:val="baseline"/>
              <w:rPr>
                <w:rStyle w:val="a4"/>
                <w:rFonts w:ascii="Arial" w:hAnsi="Arial" w:cs="Arial"/>
                <w:sz w:val="22"/>
                <w:bdr w:val="none" w:sz="0" w:space="0" w:color="auto" w:frame="1"/>
              </w:rPr>
            </w:pPr>
            <w:r w:rsidRPr="004A2B2D">
              <w:rPr>
                <w:rStyle w:val="a4"/>
                <w:rFonts w:ascii="Arial" w:hAnsi="Arial" w:cs="Arial"/>
                <w:sz w:val="22"/>
                <w:bdr w:val="none" w:sz="0" w:space="0" w:color="auto" w:frame="1"/>
              </w:rPr>
              <w:t>"УТВЕРЖДАЮ"</w:t>
            </w:r>
          </w:p>
          <w:p w:rsidR="005054BB" w:rsidRPr="004A2B2D" w:rsidRDefault="00BD23A1" w:rsidP="0070441B">
            <w:pPr>
              <w:pStyle w:val="a3"/>
              <w:spacing w:before="0" w:beforeAutospacing="0" w:after="0" w:afterAutospacing="0" w:line="288" w:lineRule="auto"/>
              <w:textAlignment w:val="baseline"/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  <w:t>Директор ГУП «Экология»</w:t>
            </w:r>
          </w:p>
        </w:tc>
      </w:tr>
      <w:tr w:rsidR="005054BB" w:rsidTr="006D195F">
        <w:tc>
          <w:tcPr>
            <w:tcW w:w="4644" w:type="dxa"/>
          </w:tcPr>
          <w:p w:rsidR="005054BB" w:rsidRPr="004A2B2D" w:rsidRDefault="005054BB" w:rsidP="006D195F">
            <w:pPr>
              <w:pStyle w:val="a3"/>
              <w:spacing w:before="0" w:beforeAutospacing="0" w:after="0" w:afterAutospacing="0" w:line="288" w:lineRule="auto"/>
              <w:textAlignment w:val="baseline"/>
              <w:rPr>
                <w:rStyle w:val="a4"/>
                <w:rFonts w:ascii="Arial" w:hAnsi="Arial" w:cs="Arial"/>
                <w:sz w:val="22"/>
                <w:bdr w:val="none" w:sz="0" w:space="0" w:color="auto" w:frame="1"/>
              </w:rPr>
            </w:pPr>
          </w:p>
          <w:p w:rsidR="005054BB" w:rsidRPr="004A2B2D" w:rsidRDefault="005054BB" w:rsidP="006D195F">
            <w:pPr>
              <w:pStyle w:val="a3"/>
              <w:spacing w:before="0" w:beforeAutospacing="0" w:after="0" w:afterAutospacing="0" w:line="288" w:lineRule="auto"/>
              <w:textAlignment w:val="baseline"/>
              <w:rPr>
                <w:rStyle w:val="a4"/>
                <w:rFonts w:ascii="Arial" w:hAnsi="Arial" w:cs="Arial"/>
                <w:sz w:val="22"/>
                <w:bdr w:val="none" w:sz="0" w:space="0" w:color="auto" w:frame="1"/>
              </w:rPr>
            </w:pPr>
          </w:p>
          <w:p w:rsidR="005054BB" w:rsidRPr="004A2B2D" w:rsidRDefault="005054BB" w:rsidP="006D195F">
            <w:pPr>
              <w:pStyle w:val="a3"/>
              <w:spacing w:before="0" w:beforeAutospacing="0" w:after="0" w:afterAutospacing="0" w:line="288" w:lineRule="auto"/>
              <w:textAlignment w:val="baseline"/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  <w:t>_____________________</w:t>
            </w:r>
            <w:r w:rsidRPr="004A2B2D">
              <w:rPr>
                <w:rStyle w:val="a4"/>
                <w:rFonts w:ascii="Arial" w:hAnsi="Arial" w:cs="Arial"/>
                <w:sz w:val="22"/>
                <w:bdr w:val="none" w:sz="0" w:space="0" w:color="auto" w:frame="1"/>
              </w:rPr>
              <w:t xml:space="preserve"> </w:t>
            </w:r>
            <w:r w:rsidR="00BD23A1"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  <w:t>Е.В. Макридин</w:t>
            </w:r>
          </w:p>
          <w:p w:rsidR="005054BB" w:rsidRPr="004A2B2D" w:rsidRDefault="005054BB" w:rsidP="006D195F">
            <w:pPr>
              <w:pStyle w:val="a3"/>
              <w:spacing w:before="0" w:beforeAutospacing="0" w:after="0" w:afterAutospacing="0" w:line="288" w:lineRule="auto"/>
              <w:textAlignment w:val="baseline"/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</w:pPr>
          </w:p>
          <w:p w:rsidR="005054BB" w:rsidRPr="004A2B2D" w:rsidRDefault="005054BB" w:rsidP="00BD23A1">
            <w:pPr>
              <w:pStyle w:val="a3"/>
              <w:spacing w:before="0" w:beforeAutospacing="0" w:after="0" w:afterAutospacing="0" w:line="288" w:lineRule="auto"/>
              <w:textAlignment w:val="baseline"/>
              <w:rPr>
                <w:rStyle w:val="a4"/>
                <w:rFonts w:ascii="Arial" w:hAnsi="Arial" w:cs="Arial"/>
                <w:sz w:val="22"/>
                <w:bdr w:val="none" w:sz="0" w:space="0" w:color="auto" w:frame="1"/>
              </w:rPr>
            </w:pPr>
            <w:r w:rsidRPr="004A2B2D"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  <w:t>"____" ___________________ 20</w:t>
            </w:r>
            <w:r w:rsidR="00EF21B9"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  <w:t>2</w:t>
            </w:r>
            <w:r w:rsidR="00BD23A1"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  <w:t>1</w:t>
            </w:r>
            <w:r w:rsidRPr="004A2B2D"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  <w:t xml:space="preserve"> г.</w:t>
            </w:r>
          </w:p>
        </w:tc>
        <w:tc>
          <w:tcPr>
            <w:tcW w:w="283" w:type="dxa"/>
          </w:tcPr>
          <w:p w:rsidR="005054BB" w:rsidRPr="004A2B2D" w:rsidRDefault="005054BB" w:rsidP="006D195F">
            <w:pPr>
              <w:pStyle w:val="a3"/>
              <w:spacing w:before="0" w:beforeAutospacing="0" w:after="0" w:afterAutospacing="0" w:line="288" w:lineRule="auto"/>
              <w:textAlignment w:val="baseline"/>
              <w:rPr>
                <w:rStyle w:val="a4"/>
                <w:rFonts w:ascii="Arial" w:hAnsi="Arial" w:cs="Arial"/>
                <w:sz w:val="22"/>
                <w:bdr w:val="none" w:sz="0" w:space="0" w:color="auto" w:frame="1"/>
              </w:rPr>
            </w:pPr>
          </w:p>
        </w:tc>
        <w:tc>
          <w:tcPr>
            <w:tcW w:w="4679" w:type="dxa"/>
          </w:tcPr>
          <w:p w:rsidR="005054BB" w:rsidRPr="004A2B2D" w:rsidRDefault="005054BB" w:rsidP="006D195F">
            <w:pPr>
              <w:pStyle w:val="a3"/>
              <w:spacing w:before="0" w:beforeAutospacing="0" w:after="0" w:afterAutospacing="0" w:line="288" w:lineRule="auto"/>
              <w:textAlignment w:val="baseline"/>
              <w:rPr>
                <w:rStyle w:val="a4"/>
                <w:rFonts w:ascii="Arial" w:hAnsi="Arial" w:cs="Arial"/>
                <w:sz w:val="22"/>
                <w:bdr w:val="none" w:sz="0" w:space="0" w:color="auto" w:frame="1"/>
              </w:rPr>
            </w:pPr>
          </w:p>
          <w:p w:rsidR="005054BB" w:rsidRPr="004A2B2D" w:rsidRDefault="005054BB" w:rsidP="006D195F">
            <w:pPr>
              <w:pStyle w:val="a3"/>
              <w:spacing w:before="0" w:beforeAutospacing="0" w:after="0" w:afterAutospacing="0" w:line="288" w:lineRule="auto"/>
              <w:textAlignment w:val="baseline"/>
              <w:rPr>
                <w:rStyle w:val="a4"/>
                <w:rFonts w:ascii="Arial" w:hAnsi="Arial" w:cs="Arial"/>
                <w:sz w:val="22"/>
                <w:bdr w:val="none" w:sz="0" w:space="0" w:color="auto" w:frame="1"/>
              </w:rPr>
            </w:pPr>
          </w:p>
          <w:p w:rsidR="005054BB" w:rsidRPr="004A2B2D" w:rsidRDefault="005054BB" w:rsidP="006D195F">
            <w:pPr>
              <w:pStyle w:val="a3"/>
              <w:spacing w:before="0" w:beforeAutospacing="0" w:after="0" w:afterAutospacing="0" w:line="288" w:lineRule="auto"/>
              <w:textAlignment w:val="baseline"/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  <w:t>____________________</w:t>
            </w:r>
            <w:r w:rsidRPr="004A2B2D">
              <w:rPr>
                <w:rStyle w:val="a4"/>
                <w:rFonts w:ascii="Arial" w:hAnsi="Arial" w:cs="Arial"/>
                <w:sz w:val="22"/>
                <w:bdr w:val="none" w:sz="0" w:space="0" w:color="auto" w:frame="1"/>
              </w:rPr>
              <w:t xml:space="preserve"> </w:t>
            </w:r>
            <w:r w:rsidR="00BD23A1"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  <w:t xml:space="preserve">К.В. </w:t>
            </w:r>
            <w:proofErr w:type="spellStart"/>
            <w:r w:rsidR="00BD23A1"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  <w:t>Ряднов</w:t>
            </w:r>
            <w:proofErr w:type="spellEnd"/>
          </w:p>
          <w:p w:rsidR="005054BB" w:rsidRPr="004A2B2D" w:rsidRDefault="005054BB" w:rsidP="006D195F">
            <w:pPr>
              <w:pStyle w:val="a3"/>
              <w:spacing w:before="0" w:beforeAutospacing="0" w:after="0" w:afterAutospacing="0" w:line="288" w:lineRule="auto"/>
              <w:textAlignment w:val="baseline"/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</w:pPr>
          </w:p>
          <w:p w:rsidR="005054BB" w:rsidRPr="004A2B2D" w:rsidRDefault="005054BB" w:rsidP="00BD23A1">
            <w:pPr>
              <w:pStyle w:val="a3"/>
              <w:spacing w:before="0" w:beforeAutospacing="0" w:after="0" w:afterAutospacing="0" w:line="288" w:lineRule="auto"/>
              <w:textAlignment w:val="baseline"/>
              <w:rPr>
                <w:rStyle w:val="a4"/>
                <w:rFonts w:ascii="Arial" w:hAnsi="Arial" w:cs="Arial"/>
                <w:sz w:val="22"/>
                <w:bdr w:val="none" w:sz="0" w:space="0" w:color="auto" w:frame="1"/>
              </w:rPr>
            </w:pPr>
            <w:r w:rsidRPr="004A2B2D"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  <w:t>"____" ___________________ 20</w:t>
            </w:r>
            <w:r w:rsidR="00EF21B9"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  <w:t>2</w:t>
            </w:r>
            <w:r w:rsidR="00BD23A1"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  <w:t>1</w:t>
            </w:r>
            <w:r w:rsidRPr="004A2B2D"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  <w:t xml:space="preserve"> г.</w:t>
            </w:r>
          </w:p>
        </w:tc>
      </w:tr>
    </w:tbl>
    <w:p w:rsidR="005054BB" w:rsidRDefault="005054BB" w:rsidP="00187AE1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bdr w:val="none" w:sz="0" w:space="0" w:color="auto" w:frame="1"/>
        </w:rPr>
      </w:pPr>
    </w:p>
    <w:p w:rsidR="005054BB" w:rsidRDefault="005054BB" w:rsidP="00187AE1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bdr w:val="none" w:sz="0" w:space="0" w:color="auto" w:frame="1"/>
        </w:rPr>
      </w:pPr>
    </w:p>
    <w:p w:rsidR="00187AE1" w:rsidRPr="006C4D86" w:rsidRDefault="005054BB" w:rsidP="00187AE1">
      <w:pPr>
        <w:pStyle w:val="a3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rFonts w:ascii="Arial" w:hAnsi="Arial" w:cs="Arial"/>
          <w:bdr w:val="none" w:sz="0" w:space="0" w:color="auto" w:frame="1"/>
        </w:rPr>
        <w:t>Т</w:t>
      </w:r>
      <w:r w:rsidR="00187AE1" w:rsidRPr="006C4D86">
        <w:rPr>
          <w:rStyle w:val="a4"/>
          <w:rFonts w:ascii="Arial" w:hAnsi="Arial" w:cs="Arial"/>
          <w:bdr w:val="none" w:sz="0" w:space="0" w:color="auto" w:frame="1"/>
        </w:rPr>
        <w:t>ехническо</w:t>
      </w:r>
      <w:r>
        <w:rPr>
          <w:rStyle w:val="a4"/>
          <w:rFonts w:ascii="Arial" w:hAnsi="Arial" w:cs="Arial"/>
          <w:bdr w:val="none" w:sz="0" w:space="0" w:color="auto" w:frame="1"/>
        </w:rPr>
        <w:t>е</w:t>
      </w:r>
      <w:r w:rsidR="00187AE1" w:rsidRPr="006C4D86">
        <w:rPr>
          <w:rStyle w:val="a4"/>
          <w:rFonts w:ascii="Arial" w:hAnsi="Arial" w:cs="Arial"/>
          <w:bdr w:val="none" w:sz="0" w:space="0" w:color="auto" w:frame="1"/>
        </w:rPr>
        <w:t xml:space="preserve"> задани</w:t>
      </w:r>
      <w:r>
        <w:rPr>
          <w:rStyle w:val="a4"/>
          <w:rFonts w:ascii="Arial" w:hAnsi="Arial" w:cs="Arial"/>
          <w:bdr w:val="none" w:sz="0" w:space="0" w:color="auto" w:frame="1"/>
        </w:rPr>
        <w:t>е</w:t>
      </w:r>
    </w:p>
    <w:p w:rsidR="00187AE1" w:rsidRPr="006C4D86" w:rsidRDefault="00EF0D3D" w:rsidP="00187AE1">
      <w:pPr>
        <w:pStyle w:val="a3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rFonts w:ascii="Arial" w:hAnsi="Arial" w:cs="Arial"/>
          <w:bdr w:val="none" w:sz="0" w:space="0" w:color="auto" w:frame="1"/>
        </w:rPr>
        <w:t xml:space="preserve">на </w:t>
      </w:r>
      <w:r w:rsidR="00AD6370">
        <w:rPr>
          <w:rStyle w:val="a4"/>
          <w:rFonts w:ascii="Arial" w:hAnsi="Arial" w:cs="Arial"/>
          <w:bdr w:val="none" w:sz="0" w:space="0" w:color="auto" w:frame="1"/>
        </w:rPr>
        <w:t>выполнение</w:t>
      </w:r>
      <w:r w:rsidR="00FB07C5">
        <w:rPr>
          <w:rStyle w:val="a4"/>
          <w:rFonts w:ascii="Arial" w:hAnsi="Arial" w:cs="Arial"/>
          <w:bdr w:val="none" w:sz="0" w:space="0" w:color="auto" w:frame="1"/>
        </w:rPr>
        <w:t xml:space="preserve"> о</w:t>
      </w:r>
      <w:r w:rsidR="00187AE1" w:rsidRPr="006C4D86">
        <w:rPr>
          <w:rStyle w:val="a4"/>
          <w:rFonts w:ascii="Arial" w:hAnsi="Arial" w:cs="Arial"/>
          <w:bdr w:val="none" w:sz="0" w:space="0" w:color="auto" w:frame="1"/>
        </w:rPr>
        <w:t>ценки воздействия на окружающую среду (ОВОС)</w:t>
      </w:r>
    </w:p>
    <w:p w:rsidR="00FE1118" w:rsidRPr="00D81802" w:rsidRDefault="00FE1118" w:rsidP="00187AE1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sz w:val="18"/>
          <w:bdr w:val="none" w:sz="0" w:space="0" w:color="auto" w:frame="1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34"/>
        <w:gridCol w:w="2977"/>
        <w:gridCol w:w="6060"/>
      </w:tblGrid>
      <w:tr w:rsidR="002962B4" w:rsidRPr="005054BB" w:rsidTr="00BF5AEE">
        <w:tc>
          <w:tcPr>
            <w:tcW w:w="279" w:type="pct"/>
            <w:vAlign w:val="center"/>
          </w:tcPr>
          <w:p w:rsidR="002962B4" w:rsidRPr="005054BB" w:rsidRDefault="002962B4" w:rsidP="002962B4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0" w:lineRule="atLeast"/>
              <w:ind w:left="0" w:firstLine="0"/>
              <w:jc w:val="center"/>
              <w:textAlignment w:val="baseline"/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</w:pPr>
          </w:p>
        </w:tc>
        <w:tc>
          <w:tcPr>
            <w:tcW w:w="1555" w:type="pct"/>
            <w:vAlign w:val="center"/>
          </w:tcPr>
          <w:p w:rsidR="002962B4" w:rsidRPr="005054BB" w:rsidRDefault="002962B4" w:rsidP="00BF5AEE">
            <w:pPr>
              <w:spacing w:line="20" w:lineRule="atLeast"/>
              <w:ind w:right="-57"/>
              <w:contextualSpacing/>
              <w:textAlignment w:val="baseline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054BB">
              <w:rPr>
                <w:rFonts w:ascii="Arial" w:eastAsia="Times New Roman" w:hAnsi="Arial" w:cs="Arial"/>
                <w:b/>
                <w:bCs/>
                <w:szCs w:val="24"/>
                <w:bdr w:val="none" w:sz="0" w:space="0" w:color="auto" w:frame="1"/>
                <w:lang w:eastAsia="ru-RU"/>
              </w:rPr>
              <w:t>Наименование и вид объекта</w:t>
            </w:r>
          </w:p>
        </w:tc>
        <w:tc>
          <w:tcPr>
            <w:tcW w:w="3166" w:type="pct"/>
          </w:tcPr>
          <w:p w:rsidR="002962B4" w:rsidRPr="00BD23A1" w:rsidRDefault="00F74C38" w:rsidP="00F74C38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  <w:t xml:space="preserve">Проектная документация </w:t>
            </w:r>
            <w:bookmarkStart w:id="0" w:name="_GoBack"/>
            <w:bookmarkEnd w:id="0"/>
            <w:r w:rsidR="00BD23A1" w:rsidRPr="00BD23A1"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  <w:t>«Рекультивация полигона ТБО «Преображенка»</w:t>
            </w:r>
            <w:r w:rsidR="002962B4" w:rsidRPr="00BD23A1"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2962B4" w:rsidRPr="005054BB" w:rsidTr="00BF5AEE">
        <w:tc>
          <w:tcPr>
            <w:tcW w:w="279" w:type="pct"/>
            <w:vAlign w:val="center"/>
          </w:tcPr>
          <w:p w:rsidR="002962B4" w:rsidRPr="005054BB" w:rsidRDefault="002962B4" w:rsidP="002962B4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0" w:lineRule="atLeast"/>
              <w:ind w:left="0" w:firstLine="0"/>
              <w:jc w:val="center"/>
              <w:textAlignment w:val="baseline"/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</w:pPr>
          </w:p>
        </w:tc>
        <w:tc>
          <w:tcPr>
            <w:tcW w:w="1555" w:type="pct"/>
            <w:vAlign w:val="center"/>
          </w:tcPr>
          <w:p w:rsidR="002962B4" w:rsidRPr="005054BB" w:rsidRDefault="002962B4" w:rsidP="00BF5AEE">
            <w:pPr>
              <w:spacing w:line="20" w:lineRule="atLeast"/>
              <w:ind w:left="-57" w:right="-57"/>
              <w:contextualSpacing/>
              <w:textAlignment w:val="baseline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054BB">
              <w:rPr>
                <w:rFonts w:ascii="Arial" w:eastAsia="Times New Roman" w:hAnsi="Arial" w:cs="Arial"/>
                <w:b/>
                <w:bCs/>
                <w:szCs w:val="24"/>
                <w:bdr w:val="none" w:sz="0" w:space="0" w:color="auto" w:frame="1"/>
                <w:lang w:eastAsia="ru-RU"/>
              </w:rPr>
              <w:t>Местоположение объекта</w:t>
            </w:r>
          </w:p>
        </w:tc>
        <w:tc>
          <w:tcPr>
            <w:tcW w:w="3166" w:type="pct"/>
          </w:tcPr>
          <w:p w:rsidR="002962B4" w:rsidRDefault="002962B4" w:rsidP="00737D26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  <w:t xml:space="preserve">Участок </w:t>
            </w:r>
            <w:r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  <w:t xml:space="preserve">объекта намечаемой деятельности расположен в границах муниципального района </w:t>
            </w:r>
            <w:r w:rsidR="00BD23A1"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  <w:t>Волжский</w:t>
            </w:r>
            <w:r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  <w:t xml:space="preserve"> Самарской области</w:t>
            </w:r>
            <w:r w:rsidR="00BD23A1"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  <w:t>, на расстоянии 1,3</w:t>
            </w:r>
            <w:r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  <w:t xml:space="preserve"> км </w:t>
            </w:r>
            <w:r w:rsidR="00BD23A1"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  <w:t>к северо-востоку от поселка Зелененький.</w:t>
            </w:r>
          </w:p>
          <w:p w:rsidR="00BD23A1" w:rsidRPr="00BD23A1" w:rsidRDefault="00BD23A1" w:rsidP="00BD23A1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</w:pPr>
            <w:r w:rsidRPr="00BD23A1"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  <w:t>По признаку административно-хозяйственного землеустройства территория располагается на земельных участках с кадастровыми номерами:</w:t>
            </w:r>
          </w:p>
          <w:p w:rsidR="00BD23A1" w:rsidRPr="00BD23A1" w:rsidRDefault="00BD23A1" w:rsidP="00BD23A1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</w:pPr>
            <w:r w:rsidRPr="00BD23A1"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  <w:t>63:17:0514006:2, площадью 287 052 кв. м.</w:t>
            </w:r>
          </w:p>
          <w:p w:rsidR="00BD23A1" w:rsidRPr="00BD23A1" w:rsidRDefault="00BD23A1" w:rsidP="00BD23A1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</w:pPr>
            <w:r w:rsidRPr="00BD23A1"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  <w:t>63:17:0514006:199, площадью 14 399 кв. м.</w:t>
            </w:r>
          </w:p>
          <w:p w:rsidR="00BD23A1" w:rsidRPr="00BD23A1" w:rsidRDefault="00BD23A1" w:rsidP="00BD23A1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</w:pPr>
            <w:r w:rsidRPr="00BD23A1"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  <w:t>63:17:0514006:203, площадью 50 716 кв. м.</w:t>
            </w:r>
          </w:p>
          <w:p w:rsidR="00BD23A1" w:rsidRPr="00BD23A1" w:rsidRDefault="00BD23A1" w:rsidP="00BD23A1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</w:pPr>
            <w:r w:rsidRPr="00BD23A1"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  <w:t>63:17:0514006:202, площадью 28 558 кв. м.</w:t>
            </w:r>
          </w:p>
          <w:p w:rsidR="00BD23A1" w:rsidRDefault="00BD23A1" w:rsidP="00BD23A1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</w:pPr>
            <w:r w:rsidRPr="00BD23A1"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  <w:t>Восточная часть земельного участка 63:17:0514006:189, ориентировочной площадью 1000 кв. м. Окончательная площадь земельного участка подлежащего рекультивации определяется в процессе инженерных изысканий.</w:t>
            </w:r>
          </w:p>
          <w:p w:rsidR="002962B4" w:rsidRPr="00342BD8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</w:rPr>
              <w:t>Участок</w:t>
            </w:r>
            <w:r w:rsidR="002962B4" w:rsidRPr="00342BD8">
              <w:rPr>
                <w:rFonts w:ascii="Arial" w:hAnsi="Arial" w:cs="Arial"/>
                <w:color w:val="000000"/>
              </w:rPr>
              <w:t xml:space="preserve"> объекта намечаемой деятельности </w:t>
            </w:r>
            <w:r>
              <w:rPr>
                <w:rFonts w:ascii="Arial" w:hAnsi="Arial" w:cs="Arial"/>
                <w:color w:val="000000"/>
              </w:rPr>
              <w:t xml:space="preserve">частично расположен в границах зон с особыми условиями территории - </w:t>
            </w:r>
            <w:proofErr w:type="spellStart"/>
            <w:r>
              <w:rPr>
                <w:rFonts w:ascii="Arial" w:hAnsi="Arial" w:cs="Arial"/>
                <w:color w:val="000000"/>
              </w:rPr>
              <w:t>водоохранных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зон поверхностных водных объектов.</w:t>
            </w:r>
            <w:r w:rsidR="00B02539">
              <w:rPr>
                <w:rFonts w:ascii="Arial" w:hAnsi="Arial" w:cs="Arial"/>
                <w:color w:val="000000"/>
              </w:rPr>
              <w:t xml:space="preserve"> Ближайшим водным объектов является пруд-накопитель фильтрата, расположенный к западу от участка размещения отходов.</w:t>
            </w:r>
          </w:p>
        </w:tc>
      </w:tr>
      <w:tr w:rsidR="002962B4" w:rsidRPr="005054BB" w:rsidTr="00BF5AEE">
        <w:tc>
          <w:tcPr>
            <w:tcW w:w="279" w:type="pct"/>
            <w:vAlign w:val="center"/>
          </w:tcPr>
          <w:p w:rsidR="002962B4" w:rsidRPr="005054BB" w:rsidRDefault="002962B4" w:rsidP="002962B4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0" w:lineRule="atLeast"/>
              <w:ind w:left="0" w:firstLine="0"/>
              <w:jc w:val="center"/>
              <w:textAlignment w:val="baseline"/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</w:pPr>
          </w:p>
        </w:tc>
        <w:tc>
          <w:tcPr>
            <w:tcW w:w="1555" w:type="pct"/>
            <w:vAlign w:val="center"/>
          </w:tcPr>
          <w:p w:rsidR="002962B4" w:rsidRPr="005054BB" w:rsidRDefault="002962B4" w:rsidP="00BF5AEE">
            <w:pPr>
              <w:spacing w:line="20" w:lineRule="atLeast"/>
              <w:ind w:left="-57" w:right="-57"/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szCs w:val="24"/>
                <w:bdr w:val="none" w:sz="0" w:space="0" w:color="auto" w:frame="1"/>
                <w:lang w:eastAsia="ru-RU"/>
              </w:rPr>
            </w:pPr>
            <w:r w:rsidRPr="005054BB">
              <w:rPr>
                <w:rFonts w:ascii="Arial" w:eastAsia="Times New Roman" w:hAnsi="Arial" w:cs="Arial"/>
                <w:b/>
                <w:bCs/>
                <w:szCs w:val="24"/>
                <w:bdr w:val="none" w:sz="0" w:space="0" w:color="auto" w:frame="1"/>
                <w:lang w:eastAsia="ru-RU"/>
              </w:rPr>
              <w:t>Заказчик и его юридический адрес</w:t>
            </w:r>
          </w:p>
        </w:tc>
        <w:tc>
          <w:tcPr>
            <w:tcW w:w="3166" w:type="pct"/>
          </w:tcPr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  <w:t>Государственное унитарное предприятие Самарской области «Экология».</w:t>
            </w:r>
          </w:p>
          <w:p w:rsidR="002962B4" w:rsidRPr="005054BB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  <w:t>443110,</w:t>
            </w:r>
            <w:r w:rsidR="0010013B"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  <w:t xml:space="preserve"> Самарская область,</w:t>
            </w:r>
            <w:r w:rsidRPr="00DD7C27">
              <w:rPr>
                <w:rStyle w:val="a4"/>
                <w:rFonts w:ascii="Arial" w:eastAsia="Calibri" w:hAnsi="Arial" w:cs="Arial"/>
                <w:b w:val="0"/>
                <w:szCs w:val="24"/>
                <w:bdr w:val="none" w:sz="0" w:space="0" w:color="auto" w:frame="1"/>
              </w:rPr>
              <w:t xml:space="preserve"> г. Самара, ул. Мичурина, 74.</w:t>
            </w:r>
          </w:p>
        </w:tc>
      </w:tr>
      <w:tr w:rsidR="002962B4" w:rsidRPr="005054BB" w:rsidTr="00BF5AEE">
        <w:tc>
          <w:tcPr>
            <w:tcW w:w="279" w:type="pct"/>
            <w:vAlign w:val="center"/>
          </w:tcPr>
          <w:p w:rsidR="002962B4" w:rsidRPr="005054BB" w:rsidRDefault="002962B4" w:rsidP="002962B4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0" w:lineRule="atLeast"/>
              <w:ind w:left="0" w:firstLine="0"/>
              <w:jc w:val="center"/>
              <w:textAlignment w:val="baseline"/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</w:pPr>
          </w:p>
        </w:tc>
        <w:tc>
          <w:tcPr>
            <w:tcW w:w="1555" w:type="pct"/>
            <w:vAlign w:val="center"/>
          </w:tcPr>
          <w:p w:rsidR="002962B4" w:rsidRPr="005054BB" w:rsidRDefault="002962B4" w:rsidP="00BF5AEE">
            <w:pPr>
              <w:spacing w:line="20" w:lineRule="atLeast"/>
              <w:ind w:left="-57" w:right="-57"/>
              <w:contextualSpacing/>
              <w:textAlignment w:val="baseline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054BB">
              <w:rPr>
                <w:rFonts w:ascii="Arial" w:eastAsia="Times New Roman" w:hAnsi="Arial" w:cs="Arial"/>
                <w:b/>
                <w:bCs/>
                <w:szCs w:val="24"/>
                <w:bdr w:val="none" w:sz="0" w:space="0" w:color="auto" w:frame="1"/>
                <w:lang w:eastAsia="ru-RU"/>
              </w:rPr>
              <w:t>Проектная организация и ее юридический адрес/ Исполнитель работ по оценке воздействия на окружающую среду</w:t>
            </w:r>
          </w:p>
        </w:tc>
        <w:tc>
          <w:tcPr>
            <w:tcW w:w="3166" w:type="pct"/>
          </w:tcPr>
          <w:p w:rsidR="002962B4" w:rsidRPr="005054BB" w:rsidRDefault="002962B4" w:rsidP="00737D26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Федеральное государственное бюджетное образовательное учреждение высшего образования «Самарский государственный технический университет»</w:t>
            </w:r>
            <w:r w:rsidR="00B02539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.</w:t>
            </w:r>
          </w:p>
          <w:p w:rsidR="002962B4" w:rsidRPr="005054BB" w:rsidRDefault="002962B4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443100, Самарская область, г. Самара, ул. Молодогвар</w:t>
            </w:r>
            <w:r w:rsid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дейская, д. 244, главный корпус.</w:t>
            </w:r>
          </w:p>
        </w:tc>
      </w:tr>
      <w:tr w:rsidR="002962B4" w:rsidRPr="005054BB" w:rsidTr="00BF5AEE">
        <w:tc>
          <w:tcPr>
            <w:tcW w:w="279" w:type="pct"/>
            <w:vAlign w:val="center"/>
          </w:tcPr>
          <w:p w:rsidR="002962B4" w:rsidRPr="005054BB" w:rsidRDefault="002962B4" w:rsidP="002962B4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0" w:lineRule="atLeast"/>
              <w:ind w:left="0" w:firstLine="0"/>
              <w:jc w:val="center"/>
              <w:textAlignment w:val="baseline"/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</w:pPr>
          </w:p>
        </w:tc>
        <w:tc>
          <w:tcPr>
            <w:tcW w:w="1555" w:type="pct"/>
            <w:vAlign w:val="center"/>
          </w:tcPr>
          <w:p w:rsidR="002962B4" w:rsidRPr="005054BB" w:rsidRDefault="002962B4" w:rsidP="00BF5AEE">
            <w:pPr>
              <w:spacing w:line="20" w:lineRule="atLeast"/>
              <w:ind w:left="-57" w:right="-57"/>
              <w:contextualSpacing/>
              <w:textAlignment w:val="baseline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054BB">
              <w:rPr>
                <w:rFonts w:ascii="Arial" w:eastAsia="Times New Roman" w:hAnsi="Arial" w:cs="Arial"/>
                <w:b/>
                <w:bCs/>
                <w:szCs w:val="24"/>
                <w:bdr w:val="none" w:sz="0" w:space="0" w:color="auto" w:frame="1"/>
                <w:lang w:eastAsia="ru-RU"/>
              </w:rPr>
              <w:t>Цель проведения ОВОС</w:t>
            </w:r>
          </w:p>
        </w:tc>
        <w:tc>
          <w:tcPr>
            <w:tcW w:w="3166" w:type="pct"/>
          </w:tcPr>
          <w:p w:rsidR="002962B4" w:rsidRPr="005054BB" w:rsidRDefault="002962B4" w:rsidP="00737D26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Оценка воздействия намечаемой хозяйственной и иной деятельности на окружающую природную среду.</w:t>
            </w:r>
          </w:p>
          <w:p w:rsidR="002962B4" w:rsidRPr="005054BB" w:rsidRDefault="002962B4" w:rsidP="00737D26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Учет мнения общественности при реализации проекта рекультивации</w:t>
            </w:r>
            <w:r w:rsid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.</w:t>
            </w:r>
          </w:p>
          <w:p w:rsidR="002962B4" w:rsidRPr="005054BB" w:rsidRDefault="002962B4" w:rsidP="00737D26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Прохождение государственной экологической экспертизы документации, обосновывающей намечаемую хозяйственную или иную деятельность.</w:t>
            </w:r>
          </w:p>
        </w:tc>
      </w:tr>
      <w:tr w:rsidR="002962B4" w:rsidRPr="005054BB" w:rsidTr="00BF5AEE">
        <w:tc>
          <w:tcPr>
            <w:tcW w:w="279" w:type="pct"/>
            <w:vAlign w:val="center"/>
          </w:tcPr>
          <w:p w:rsidR="002962B4" w:rsidRPr="005054BB" w:rsidRDefault="002962B4" w:rsidP="002962B4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0" w:lineRule="atLeast"/>
              <w:ind w:left="0" w:firstLine="0"/>
              <w:jc w:val="center"/>
              <w:textAlignment w:val="baseline"/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</w:pPr>
          </w:p>
        </w:tc>
        <w:tc>
          <w:tcPr>
            <w:tcW w:w="1555" w:type="pct"/>
            <w:vAlign w:val="center"/>
          </w:tcPr>
          <w:p w:rsidR="002962B4" w:rsidRPr="005054BB" w:rsidRDefault="002962B4" w:rsidP="00BF5AEE">
            <w:pPr>
              <w:spacing w:line="20" w:lineRule="atLeast"/>
              <w:ind w:left="-57" w:right="-57"/>
              <w:contextualSpacing/>
              <w:textAlignment w:val="baseline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054BB">
              <w:rPr>
                <w:rFonts w:ascii="Arial" w:eastAsia="Times New Roman" w:hAnsi="Arial" w:cs="Arial"/>
                <w:b/>
                <w:bCs/>
                <w:szCs w:val="24"/>
                <w:bdr w:val="none" w:sz="0" w:space="0" w:color="auto" w:frame="1"/>
                <w:lang w:eastAsia="ru-RU"/>
              </w:rPr>
              <w:t xml:space="preserve">Сроки проведения оценки воздействия на </w:t>
            </w:r>
            <w:r w:rsidRPr="005054BB">
              <w:rPr>
                <w:rFonts w:ascii="Arial" w:eastAsia="Times New Roman" w:hAnsi="Arial" w:cs="Arial"/>
                <w:b/>
                <w:bCs/>
                <w:szCs w:val="24"/>
                <w:bdr w:val="none" w:sz="0" w:space="0" w:color="auto" w:frame="1"/>
                <w:lang w:eastAsia="ru-RU"/>
              </w:rPr>
              <w:lastRenderedPageBreak/>
              <w:t>окружающую среду</w:t>
            </w:r>
          </w:p>
        </w:tc>
        <w:tc>
          <w:tcPr>
            <w:tcW w:w="3166" w:type="pct"/>
          </w:tcPr>
          <w:p w:rsidR="002962B4" w:rsidRPr="005054BB" w:rsidRDefault="002962B4" w:rsidP="00737D26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lastRenderedPageBreak/>
              <w:t>Начало –</w:t>
            </w:r>
            <w:r w:rsidR="00F6528D" w:rsidRPr="00F6528D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март</w:t>
            </w:r>
            <w:r w:rsidRPr="00F6528D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 202</w:t>
            </w:r>
            <w:r w:rsidR="0096373D" w:rsidRPr="00F6528D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1</w:t>
            </w:r>
            <w:r w:rsidRPr="00F6528D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 г.</w:t>
            </w:r>
          </w:p>
          <w:p w:rsidR="002962B4" w:rsidRPr="005054BB" w:rsidRDefault="002962B4" w:rsidP="00F6528D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Завершение – </w:t>
            </w:r>
            <w:r w:rsidR="00F6528D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июнь</w:t>
            </w: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 202</w:t>
            </w:r>
            <w:r w:rsid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1</w:t>
            </w: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 г.</w:t>
            </w:r>
          </w:p>
        </w:tc>
      </w:tr>
      <w:tr w:rsidR="002962B4" w:rsidRPr="005054BB" w:rsidTr="00BF5AEE">
        <w:tc>
          <w:tcPr>
            <w:tcW w:w="279" w:type="pct"/>
            <w:vAlign w:val="center"/>
          </w:tcPr>
          <w:p w:rsidR="002962B4" w:rsidRPr="005054BB" w:rsidRDefault="002962B4" w:rsidP="002962B4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0" w:lineRule="atLeast"/>
              <w:ind w:left="0" w:firstLine="0"/>
              <w:jc w:val="center"/>
              <w:textAlignment w:val="baseline"/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</w:pPr>
          </w:p>
        </w:tc>
        <w:tc>
          <w:tcPr>
            <w:tcW w:w="1555" w:type="pct"/>
            <w:vAlign w:val="center"/>
          </w:tcPr>
          <w:p w:rsidR="002962B4" w:rsidRPr="005054BB" w:rsidRDefault="002962B4" w:rsidP="00BF5AEE">
            <w:pPr>
              <w:spacing w:line="20" w:lineRule="atLeast"/>
              <w:ind w:left="-57" w:right="-57"/>
              <w:contextualSpacing/>
              <w:textAlignment w:val="baseline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054BB">
              <w:rPr>
                <w:rFonts w:ascii="Arial" w:eastAsia="Times New Roman" w:hAnsi="Arial" w:cs="Arial"/>
                <w:b/>
                <w:bCs/>
                <w:szCs w:val="24"/>
                <w:bdr w:val="none" w:sz="0" w:space="0" w:color="auto" w:frame="1"/>
                <w:lang w:eastAsia="ru-RU"/>
              </w:rPr>
              <w:t>Назначение и основные решения</w:t>
            </w:r>
          </w:p>
        </w:tc>
        <w:tc>
          <w:tcPr>
            <w:tcW w:w="3166" w:type="pct"/>
          </w:tcPr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Функционально полигон предназначен для приема и захоронения твердых бытовых и малотоксичных промышленных отходов.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Год ввода в эксплуатацию: 1996 года.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Мощность полигона по приему ТКО составляет: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- проектная мощность полигона составляет 1,5 млн. куб. м в год (338 тыс. т/год) по ТКО и 0,026 млн. куб. м в год (44 тыс. т/год) по малотоксичным промышленным отходам 4, 5 класса опасности. 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- среднегодовая фактическая мощность полигона за 2014-2019 </w:t>
            </w:r>
            <w:proofErr w:type="spellStart"/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г.г</w:t>
            </w:r>
            <w:proofErr w:type="spellEnd"/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. составила 1,635 млн. куб. м в год (408 759,246 т/год).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Вместимость полигона (расчетная) - 35,667 млн. м куб. (10,7 млн. т) по ТКО и 1,048 млн. куб. м (1,782 млн. т) по малотоксичным промышленным отходам 4, 5 класса опасности. 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Ориентировочная толщина массива размещенных отходов - 50 м.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По состоянию на январь 2020 г. на полигоне размещено 9 503 566,78 т.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Расчетный срок вывода полигона из эксплуатации: 2022 год.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Зарегистрирован в ГРОРО с рег. № 63-00015-З-00479-010814. 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Санитарно-эпидемиологическое заключение о санитарно-защитной зоне (СЗЗ)  №63.СЦ.04.000.Т.001501.11.13 от 27.11.2013 г.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Решение об установлении СЗЗ. Постановление главного санитарного врача РФ №78 от 21.06.2016 г.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В состав полигона ТБО «Преображенка» входят следующие основные сооружения: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 - высоконагружаемый полигон ТБО (свалочное тело);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 - административно - хозяйственная зона;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 - инженерные сооружения и коммуникации: 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- 1-я очередь эксплуатации полигона; 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биогазодренажный</w:t>
            </w:r>
            <w:proofErr w:type="spellEnd"/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 комплекс на 2-й очереди эксплуатации 2ПК, площадью 0,5 га (введен в эксплуатацию ноябрь 2013 г.); 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- пруд-накопитель фильтрата (V = 72 тыс. м3);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- резервный пруд-накопитель фильтрата (V = 5 тыс. м3);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- пруд-испаритель фильтрата (V = 4,5 тыс. м3); 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- скважина технического водоснабжения (паспорт, №30); 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- подъездные и технологические автодороги (асфальтобетонная, грунтощебеночная подъездные дороги); 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- нагорная защита, из железобетонных лотков, которая охватывает территорию полигона с южной, восточной и северной сторон (решение задачи по перехвату поверхностных вод); 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- сеть </w:t>
            </w:r>
            <w:proofErr w:type="spellStart"/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режимно</w:t>
            </w:r>
            <w:proofErr w:type="spellEnd"/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-наблюдательных скважин (22 шт.) по периметру полигона для проведения мониторинга грунтовых вод; 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- зона санитарного содержания и благоустройства. 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Полигон эксплуатируется по ярусам: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- 1-й ярус в отметках 98,00 м. - 112,0 м.;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- 2-й, 3-й, 4-й и 5 -й яруса от отметки 112,0 м. до отметки </w:t>
            </w: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lastRenderedPageBreak/>
              <w:t xml:space="preserve">150,0 м. 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Связь на полигоне - мобильная.</w:t>
            </w:r>
          </w:p>
          <w:p w:rsidR="00DD7C27" w:rsidRPr="00DD7C27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Электроснабжение осуществляется от сетевой организации ПАО «МРСК Волги».</w:t>
            </w:r>
          </w:p>
          <w:p w:rsidR="002962B4" w:rsidRDefault="00DD7C27" w:rsidP="00DD7C27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DD7C27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Водоснабжение осуществляется скважиной технического водоснабжения (паспорт, №30).</w:t>
            </w:r>
          </w:p>
          <w:p w:rsidR="00EC2A1B" w:rsidRPr="005054BB" w:rsidRDefault="00EC2A1B" w:rsidP="00B02539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b w:val="0"/>
                <w:szCs w:val="24"/>
                <w:bdr w:val="none" w:sz="0" w:space="0" w:color="auto" w:frame="1"/>
              </w:rPr>
            </w:pPr>
            <w:r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При рекультивации полигона предусмотрены следующие </w:t>
            </w:r>
            <w:r w:rsidR="00B02539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мероприятия</w:t>
            </w:r>
            <w:r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: устройство активной системы сбора биогаза, локальных очистных сооружений, </w:t>
            </w:r>
            <w:proofErr w:type="spellStart"/>
            <w:r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рекультивационного</w:t>
            </w:r>
            <w:proofErr w:type="spellEnd"/>
            <w:r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 экрана на поверхности массива размещенных отходов.</w:t>
            </w:r>
          </w:p>
        </w:tc>
      </w:tr>
      <w:tr w:rsidR="005D52E3" w:rsidRPr="005054BB" w:rsidTr="00BF5AEE">
        <w:tc>
          <w:tcPr>
            <w:tcW w:w="279" w:type="pct"/>
            <w:vAlign w:val="center"/>
          </w:tcPr>
          <w:p w:rsidR="005D52E3" w:rsidRPr="005054BB" w:rsidRDefault="005D52E3" w:rsidP="005D52E3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0" w:lineRule="atLeast"/>
              <w:ind w:left="0" w:firstLine="0"/>
              <w:jc w:val="center"/>
              <w:textAlignment w:val="baseline"/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</w:pPr>
          </w:p>
        </w:tc>
        <w:tc>
          <w:tcPr>
            <w:tcW w:w="1555" w:type="pct"/>
            <w:vAlign w:val="center"/>
          </w:tcPr>
          <w:p w:rsidR="005D52E3" w:rsidRPr="005054BB" w:rsidRDefault="005D52E3" w:rsidP="005D52E3">
            <w:pPr>
              <w:spacing w:line="20" w:lineRule="atLeast"/>
              <w:ind w:left="-57" w:right="-57"/>
              <w:contextualSpacing/>
              <w:textAlignment w:val="baseline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054BB">
              <w:rPr>
                <w:rFonts w:ascii="Arial" w:eastAsia="Times New Roman" w:hAnsi="Arial" w:cs="Arial"/>
                <w:b/>
                <w:bCs/>
                <w:szCs w:val="24"/>
                <w:bdr w:val="none" w:sz="0" w:space="0" w:color="auto" w:frame="1"/>
                <w:lang w:eastAsia="ru-RU"/>
              </w:rPr>
              <w:t>Перечень нормативных документов, в соответствии с требованиями которых необходимо провести процедуру ОВОС</w:t>
            </w:r>
          </w:p>
        </w:tc>
        <w:tc>
          <w:tcPr>
            <w:tcW w:w="3166" w:type="pct"/>
          </w:tcPr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Комплект документации по оценке воздействия намечаемой деятельности на окружающую среду (ОВОС) должен быть разработан в соответствии с требованиями действующих нормативных документов: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- Положение об оценке воздействия намечаемой хозяйственной и иной деятельности на окружающую среду в Российской Федерации, утв. Приказом </w:t>
            </w:r>
            <w:proofErr w:type="spellStart"/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Госкомэкологии</w:t>
            </w:r>
            <w:proofErr w:type="spellEnd"/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 РФ от 16.05.2000 № 372.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- ФЗ «Об охране окружающей среды» от 10.01.2002 № 7-ФЗ.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- ФЗ «Об экологической экспертизе» от 23.11.1995 № 174-ФЗ.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- ФЗ «Об охране атмосферного воздуха» от 04.05.1999 № 96-ФЗ.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- ФЗ «Об отходах производства и потребления» от 24.06.1998 № 89-ФЗ.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- Постановление Правительств</w:t>
            </w:r>
            <w:r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а РФ от 10.07.2018 №800</w:t>
            </w: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 "О проведении рекультивации и консервации земель" (вместе с "Правилами проведения рекультивации и консервации земель").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- </w:t>
            </w:r>
            <w:r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ФЗ</w:t>
            </w: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 "О санитарно-эпидемиологическом благополучии населения"</w:t>
            </w:r>
            <w:r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 </w:t>
            </w: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от 30.03.1999 N 52-ФЗ.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- Градостроительный Кодекс РФ от 29.12.2004 № 190-ФЗ.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- Водный Кодекс РФ от 03.06.2006 № 74-ФЗ.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- Земельный Кодекс РФ от 25.10.2001 № 136-ФЗ.</w:t>
            </w:r>
          </w:p>
        </w:tc>
      </w:tr>
      <w:tr w:rsidR="005D52E3" w:rsidRPr="005054BB" w:rsidTr="00BF5AEE">
        <w:tc>
          <w:tcPr>
            <w:tcW w:w="279" w:type="pct"/>
            <w:vAlign w:val="center"/>
          </w:tcPr>
          <w:p w:rsidR="005D52E3" w:rsidRPr="005054BB" w:rsidRDefault="005D52E3" w:rsidP="005D52E3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0" w:lineRule="atLeast"/>
              <w:ind w:left="0" w:firstLine="0"/>
              <w:jc w:val="center"/>
              <w:textAlignment w:val="baseline"/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</w:pPr>
          </w:p>
        </w:tc>
        <w:tc>
          <w:tcPr>
            <w:tcW w:w="1555" w:type="pct"/>
            <w:vAlign w:val="center"/>
          </w:tcPr>
          <w:p w:rsidR="005D52E3" w:rsidRPr="005054BB" w:rsidRDefault="005D52E3" w:rsidP="005D52E3">
            <w:pPr>
              <w:spacing w:line="20" w:lineRule="atLeast"/>
              <w:ind w:left="-57" w:right="-57"/>
              <w:contextualSpacing/>
              <w:textAlignment w:val="baseline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054BB">
              <w:rPr>
                <w:rFonts w:ascii="Arial" w:eastAsia="Times New Roman" w:hAnsi="Arial" w:cs="Arial"/>
                <w:b/>
                <w:bCs/>
                <w:szCs w:val="24"/>
                <w:bdr w:val="none" w:sz="0" w:space="0" w:color="auto" w:frame="1"/>
                <w:lang w:eastAsia="ru-RU"/>
              </w:rPr>
              <w:t>Перечень исходных данных</w:t>
            </w:r>
          </w:p>
        </w:tc>
        <w:tc>
          <w:tcPr>
            <w:tcW w:w="3166" w:type="pct"/>
          </w:tcPr>
          <w:p w:rsidR="005D52E3" w:rsidRPr="0070441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70441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Материалы изысканий и исследований в объеме, требуемом для разработки материалов ОВОС.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70441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Проектная документация согласно</w:t>
            </w:r>
            <w:r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 </w:t>
            </w:r>
            <w:r w:rsidRPr="0070441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«Положению о составе разделов проектной документации и требованиях к их содержанию» утвержденному постановлением Правительства РФ от 1</w:t>
            </w:r>
            <w:r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6.02.200</w:t>
            </w:r>
            <w:r w:rsidRPr="0070441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8г.</w:t>
            </w:r>
            <w:r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 </w:t>
            </w:r>
            <w:r w:rsidRPr="0070441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№87</w:t>
            </w:r>
            <w:r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.</w:t>
            </w:r>
          </w:p>
        </w:tc>
      </w:tr>
      <w:tr w:rsidR="005D52E3" w:rsidRPr="005054BB" w:rsidTr="00BF5AEE">
        <w:tc>
          <w:tcPr>
            <w:tcW w:w="279" w:type="pct"/>
            <w:vAlign w:val="center"/>
          </w:tcPr>
          <w:p w:rsidR="005D52E3" w:rsidRPr="005054BB" w:rsidRDefault="005D52E3" w:rsidP="005D52E3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0" w:lineRule="atLeast"/>
              <w:ind w:left="0" w:firstLine="0"/>
              <w:jc w:val="center"/>
              <w:textAlignment w:val="baseline"/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</w:pPr>
          </w:p>
        </w:tc>
        <w:tc>
          <w:tcPr>
            <w:tcW w:w="1555" w:type="pct"/>
            <w:vAlign w:val="center"/>
          </w:tcPr>
          <w:p w:rsidR="005D52E3" w:rsidRPr="005054BB" w:rsidRDefault="005D52E3" w:rsidP="005D52E3">
            <w:pPr>
              <w:spacing w:line="20" w:lineRule="atLeast"/>
              <w:ind w:left="-57" w:right="-57"/>
              <w:contextualSpacing/>
              <w:textAlignment w:val="baseline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054BB">
              <w:rPr>
                <w:rFonts w:ascii="Arial" w:eastAsia="Times New Roman" w:hAnsi="Arial" w:cs="Arial"/>
                <w:b/>
                <w:bCs/>
                <w:szCs w:val="24"/>
                <w:bdr w:val="none" w:sz="0" w:space="0" w:color="auto" w:frame="1"/>
                <w:lang w:eastAsia="ru-RU"/>
              </w:rPr>
              <w:t>Основные методы проведения оценки воздействия на окружающую среду</w:t>
            </w:r>
          </w:p>
        </w:tc>
        <w:tc>
          <w:tcPr>
            <w:tcW w:w="3166" w:type="pct"/>
          </w:tcPr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Материалы ОВОС должны быть выполнены в соответствии с законодательными и нормативными требованиями РФ в области охраны окружающей среды, природопользования, а также удовлетворять требованиям региональных законодательных и нормативных документов.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Материалы ОВОС необходимо выполнить на основе имеющейся официальной информации, статистики, проведенных ранее исследований. При выявлении недостатка в исходных данных и других неопределенностей в определении воздействий намечаемой деятельности на окружающую среду, описать данные неопределенности, оценить степень их значимости и разработать рекомендации по их </w:t>
            </w: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lastRenderedPageBreak/>
              <w:t>устранению.</w:t>
            </w:r>
          </w:p>
        </w:tc>
      </w:tr>
      <w:tr w:rsidR="005D52E3" w:rsidRPr="005054BB" w:rsidTr="00BF5AEE">
        <w:tc>
          <w:tcPr>
            <w:tcW w:w="279" w:type="pct"/>
            <w:vAlign w:val="center"/>
          </w:tcPr>
          <w:p w:rsidR="005D52E3" w:rsidRPr="005054BB" w:rsidRDefault="005D52E3" w:rsidP="005D52E3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0" w:lineRule="atLeast"/>
              <w:ind w:left="0" w:firstLine="0"/>
              <w:jc w:val="center"/>
              <w:textAlignment w:val="baseline"/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</w:pPr>
          </w:p>
        </w:tc>
        <w:tc>
          <w:tcPr>
            <w:tcW w:w="1555" w:type="pct"/>
            <w:vAlign w:val="center"/>
          </w:tcPr>
          <w:p w:rsidR="005D52E3" w:rsidRPr="005054BB" w:rsidRDefault="005D52E3" w:rsidP="005D52E3">
            <w:pPr>
              <w:spacing w:line="20" w:lineRule="atLeast"/>
              <w:ind w:left="-57" w:right="-57"/>
              <w:contextualSpacing/>
              <w:textAlignment w:val="baseline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054BB">
              <w:rPr>
                <w:rFonts w:ascii="Arial" w:eastAsia="Times New Roman" w:hAnsi="Arial" w:cs="Arial"/>
                <w:b/>
                <w:bCs/>
                <w:szCs w:val="24"/>
                <w:bdr w:val="none" w:sz="0" w:space="0" w:color="auto" w:frame="1"/>
                <w:lang w:eastAsia="ru-RU"/>
              </w:rPr>
              <w:t>План проведения консультаций с общественностью</w:t>
            </w:r>
          </w:p>
        </w:tc>
        <w:tc>
          <w:tcPr>
            <w:tcW w:w="3166" w:type="pct"/>
          </w:tcPr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С целью выявления общественного мнения и обеспечения возможности его учета в проектных решениях, необходимо осуществить информирование общественности о намечаемой хозяйственной деятельности в период подготовки и проведения ОВОС.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В качестве основного метода выявления общественных предпочтений необходимо: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- проинформировать заинтересованные стороны процесса ОВОС о настоящем техническом задании на проведение ОВОС, предварительных материалах ОВОС, о месте свободного доступа к настоящему техническому заданию и предварительным материалам ОВОС и фиксации замечаний и предложений в течение не менее 30 календарных дней со дня опубликования информации. Фиксация замечаний и предложений осуществляется путем ведения журнала регистрации посетителей.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При наличии обоснованных замечаний и предложений предусмотреть корректировку технического задания и разрабатываемых на его основе материалов по оценке воздействия на окружающую среду;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- информирование осуществить путем размещения объявлений в официальных печатных изданиях федеральных органов исполнительной власти, органов исполнительной власти субъекта РФ и органов местного самоуправления.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Дополнительное информирование участников процесса оценки воздействия на окружающую среду может осуществляться путем размещения информации в сети Интернет и иными способами, обеспечивающими распространение и доступ к информации.</w:t>
            </w:r>
          </w:p>
        </w:tc>
      </w:tr>
      <w:tr w:rsidR="005D52E3" w:rsidRPr="005054BB" w:rsidTr="00BF5AEE">
        <w:tc>
          <w:tcPr>
            <w:tcW w:w="279" w:type="pct"/>
            <w:vAlign w:val="center"/>
          </w:tcPr>
          <w:p w:rsidR="005D52E3" w:rsidRPr="005054BB" w:rsidRDefault="005D52E3" w:rsidP="005D52E3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0" w:lineRule="atLeast"/>
              <w:ind w:left="0" w:firstLine="0"/>
              <w:jc w:val="center"/>
              <w:textAlignment w:val="baseline"/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</w:pPr>
          </w:p>
        </w:tc>
        <w:tc>
          <w:tcPr>
            <w:tcW w:w="1555" w:type="pct"/>
            <w:vAlign w:val="center"/>
          </w:tcPr>
          <w:p w:rsidR="005D52E3" w:rsidRPr="005054BB" w:rsidRDefault="005D52E3" w:rsidP="005D52E3">
            <w:pPr>
              <w:spacing w:line="20" w:lineRule="atLeast"/>
              <w:ind w:left="-57" w:right="-57"/>
              <w:contextualSpacing/>
              <w:textAlignment w:val="baseline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054BB">
              <w:rPr>
                <w:rFonts w:ascii="Arial" w:eastAsia="Times New Roman" w:hAnsi="Arial" w:cs="Arial"/>
                <w:b/>
                <w:bCs/>
                <w:szCs w:val="24"/>
                <w:bdr w:val="none" w:sz="0" w:space="0" w:color="auto" w:frame="1"/>
                <w:lang w:eastAsia="ru-RU"/>
              </w:rPr>
              <w:t>Основные задачи при проведении оценки воздействия на окружающую среду</w:t>
            </w:r>
          </w:p>
        </w:tc>
        <w:tc>
          <w:tcPr>
            <w:tcW w:w="3166" w:type="pct"/>
          </w:tcPr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Оценка воздействия на окружающую среду проводится с целью выявления характера, интенсивности, степени опасности влияния намечаемой хозяйственной деятельности на состояние окружающей среды с целью принятия решения о допустимости осуществления хозяйственной деятельности.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Для достижения указанной цели при проведении ОВОС необходимо решить следующие задачи: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- провести комплексную оценку воздействия на окружающую среду;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- рассмотреть факторы негативного воздействия на природную среду, определить количественные характеристики воздействий;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- разработать мероприятия по предотвращению и снижению возможного негативного воздействия на окружающую среду.</w:t>
            </w:r>
          </w:p>
        </w:tc>
      </w:tr>
      <w:tr w:rsidR="005D52E3" w:rsidRPr="005054BB" w:rsidTr="00BF5AEE">
        <w:tc>
          <w:tcPr>
            <w:tcW w:w="279" w:type="pct"/>
            <w:vAlign w:val="center"/>
          </w:tcPr>
          <w:p w:rsidR="005D52E3" w:rsidRPr="005054BB" w:rsidRDefault="005D52E3" w:rsidP="005D52E3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0" w:lineRule="atLeast"/>
              <w:ind w:left="0" w:firstLine="0"/>
              <w:jc w:val="center"/>
              <w:textAlignment w:val="baseline"/>
              <w:rPr>
                <w:rStyle w:val="a4"/>
                <w:rFonts w:ascii="Arial" w:hAnsi="Arial" w:cs="Arial"/>
                <w:b w:val="0"/>
                <w:sz w:val="22"/>
                <w:bdr w:val="none" w:sz="0" w:space="0" w:color="auto" w:frame="1"/>
              </w:rPr>
            </w:pPr>
          </w:p>
        </w:tc>
        <w:tc>
          <w:tcPr>
            <w:tcW w:w="1555" w:type="pct"/>
            <w:vAlign w:val="center"/>
          </w:tcPr>
          <w:p w:rsidR="005D52E3" w:rsidRPr="005054BB" w:rsidRDefault="005D52E3" w:rsidP="005D52E3">
            <w:pPr>
              <w:spacing w:line="20" w:lineRule="atLeast"/>
              <w:ind w:left="-57" w:right="-57"/>
              <w:contextualSpacing/>
              <w:textAlignment w:val="baseline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054BB">
              <w:rPr>
                <w:rFonts w:ascii="Arial" w:eastAsia="Times New Roman" w:hAnsi="Arial" w:cs="Arial"/>
                <w:b/>
                <w:bCs/>
                <w:szCs w:val="24"/>
                <w:bdr w:val="none" w:sz="0" w:space="0" w:color="auto" w:frame="1"/>
                <w:lang w:eastAsia="ru-RU"/>
              </w:rPr>
              <w:t>Состав и содержание материалов по оценке воздействия на окружающую среду</w:t>
            </w:r>
          </w:p>
        </w:tc>
        <w:tc>
          <w:tcPr>
            <w:tcW w:w="3166" w:type="pct"/>
          </w:tcPr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В соответствии с «Положением об оценке воздействия намечаемой хозяйственной и иной деятельности на окружающую среду в Российской Федерации» от 16.05.2000 № 372, исследования по оценке воздействия на окружающую среду намечаемой хозяйственной и иной деятельности должны включать следующие материалы: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- характеристику намечаемой хозяйственной и иной деятельности и возможных альтернатив;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 xml:space="preserve">- анализ состояния территории, на которую может </w:t>
            </w: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lastRenderedPageBreak/>
              <w:t>оказать влияние намечаемая хозяйственная и иная деятельность (состояние природной среды, наличие и характер антропогенной нагрузки и т.п.);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- возможные воздействия намечаемой хозяйственной и иной деятельности на окружающую среду с учетом альтернатив;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- оценку воздействий на окружающую среду намечаемой хозяйственной и иной деятельности (вероятности возникновения риска, степени, характера, масштаба, зоны распространения, а также прогнозирование экологических последствий);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- мероприятия, уменьшающие, смягчающие или предотвращающие негативные воздействия, оценку их эффективности и возможности реализации;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- предложения по программе экологического мониторинга и контроля на всех этапах реализации намечаемой хозяйственной и иной деятельности;</w:t>
            </w:r>
          </w:p>
          <w:p w:rsidR="005D52E3" w:rsidRPr="005054BB" w:rsidRDefault="005D52E3" w:rsidP="005D52E3">
            <w:pPr>
              <w:spacing w:line="20" w:lineRule="atLeast"/>
              <w:contextualSpacing/>
              <w:jc w:val="both"/>
              <w:textAlignment w:val="baseline"/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</w:pPr>
            <w:r w:rsidRPr="005054BB">
              <w:rPr>
                <w:rStyle w:val="a4"/>
                <w:rFonts w:ascii="Arial" w:hAnsi="Arial" w:cs="Arial"/>
                <w:b w:val="0"/>
                <w:szCs w:val="24"/>
                <w:bdr w:val="none" w:sz="0" w:space="0" w:color="auto" w:frame="1"/>
              </w:rPr>
              <w:t>- предварительный вариант материалов по оценке воздействия на окружающую среду намечаемой хозяйственной и иной деятельности (включая краткое изложение для неспециалистов). </w:t>
            </w:r>
          </w:p>
        </w:tc>
      </w:tr>
    </w:tbl>
    <w:p w:rsidR="009E470F" w:rsidRPr="0035038E" w:rsidRDefault="009E470F" w:rsidP="009E470F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7372"/>
        <w:gridCol w:w="2062"/>
      </w:tblGrid>
      <w:tr w:rsidR="00191B16" w:rsidRPr="004A2B2D" w:rsidTr="006D195F">
        <w:trPr>
          <w:trHeight w:val="928"/>
        </w:trPr>
        <w:tc>
          <w:tcPr>
            <w:tcW w:w="7372" w:type="dxa"/>
          </w:tcPr>
          <w:p w:rsidR="00191B16" w:rsidRPr="004A2B2D" w:rsidRDefault="00191B16" w:rsidP="0070441B">
            <w:pPr>
              <w:tabs>
                <w:tab w:val="right" w:pos="9923"/>
              </w:tabs>
              <w:spacing w:before="120"/>
              <w:ind w:right="-2"/>
              <w:rPr>
                <w:rFonts w:ascii="Arial" w:hAnsi="Arial" w:cs="Arial"/>
              </w:rPr>
            </w:pPr>
            <w:r w:rsidRPr="004A2B2D">
              <w:rPr>
                <w:rFonts w:ascii="Arial" w:hAnsi="Arial" w:cs="Arial"/>
              </w:rPr>
              <w:t>Главный инженер</w:t>
            </w:r>
            <w:r>
              <w:rPr>
                <w:rFonts w:ascii="Arial" w:hAnsi="Arial" w:cs="Arial"/>
              </w:rPr>
              <w:t xml:space="preserve"> проекта</w:t>
            </w:r>
          </w:p>
        </w:tc>
        <w:tc>
          <w:tcPr>
            <w:tcW w:w="2062" w:type="dxa"/>
          </w:tcPr>
          <w:p w:rsidR="00191B16" w:rsidRPr="004A2B2D" w:rsidRDefault="0070441B" w:rsidP="006D195F">
            <w:pPr>
              <w:tabs>
                <w:tab w:val="right" w:pos="9923"/>
              </w:tabs>
              <w:spacing w:before="120"/>
              <w:ind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Петров А.Ю.</w:t>
            </w:r>
          </w:p>
        </w:tc>
      </w:tr>
      <w:tr w:rsidR="00191B16" w:rsidRPr="004A2B2D" w:rsidTr="006D195F">
        <w:trPr>
          <w:trHeight w:val="928"/>
        </w:trPr>
        <w:tc>
          <w:tcPr>
            <w:tcW w:w="7372" w:type="dxa"/>
          </w:tcPr>
          <w:p w:rsidR="00191B16" w:rsidRPr="004A2B2D" w:rsidRDefault="00191B16" w:rsidP="006D195F">
            <w:pPr>
              <w:tabs>
                <w:tab w:val="right" w:pos="9923"/>
              </w:tabs>
              <w:spacing w:before="120"/>
              <w:ind w:right="-2"/>
              <w:rPr>
                <w:rFonts w:ascii="Arial" w:hAnsi="Arial" w:cs="Arial"/>
              </w:rPr>
            </w:pPr>
            <w:r w:rsidRPr="004A2B2D">
              <w:rPr>
                <w:rFonts w:ascii="Arial" w:hAnsi="Arial" w:cs="Arial"/>
              </w:rPr>
              <w:t>Ведущий специалист проектной группы, д.т.н.</w:t>
            </w:r>
          </w:p>
        </w:tc>
        <w:tc>
          <w:tcPr>
            <w:tcW w:w="2062" w:type="dxa"/>
          </w:tcPr>
          <w:p w:rsidR="00191B16" w:rsidRPr="004A2B2D" w:rsidRDefault="00191B16" w:rsidP="006D195F">
            <w:pPr>
              <w:tabs>
                <w:tab w:val="right" w:pos="9923"/>
              </w:tabs>
              <w:spacing w:before="120"/>
              <w:ind w:right="-2"/>
              <w:rPr>
                <w:rFonts w:ascii="Arial" w:hAnsi="Arial" w:cs="Arial"/>
              </w:rPr>
            </w:pPr>
            <w:r w:rsidRPr="004A2B2D">
              <w:rPr>
                <w:rFonts w:ascii="Arial" w:hAnsi="Arial" w:cs="Arial"/>
              </w:rPr>
              <w:t>Тупицына О.В.</w:t>
            </w:r>
          </w:p>
        </w:tc>
      </w:tr>
    </w:tbl>
    <w:p w:rsidR="004C137A" w:rsidRPr="0035038E" w:rsidRDefault="004C137A">
      <w:pPr>
        <w:rPr>
          <w:rStyle w:val="a4"/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</w:pPr>
    </w:p>
    <w:sectPr w:rsidR="004C137A" w:rsidRPr="0035038E" w:rsidSect="005054B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1AB4"/>
    <w:multiLevelType w:val="hybridMultilevel"/>
    <w:tmpl w:val="136A11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D0D27EB"/>
    <w:multiLevelType w:val="hybridMultilevel"/>
    <w:tmpl w:val="CCB27104"/>
    <w:lvl w:ilvl="0" w:tplc="B30C827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287522"/>
    <w:multiLevelType w:val="hybridMultilevel"/>
    <w:tmpl w:val="D3D8A4A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 w15:restartNumberingAfterBreak="0">
    <w:nsid w:val="4AB308D0"/>
    <w:multiLevelType w:val="hybridMultilevel"/>
    <w:tmpl w:val="A0D8E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72D1F"/>
    <w:multiLevelType w:val="hybridMultilevel"/>
    <w:tmpl w:val="5C6AC0E2"/>
    <w:lvl w:ilvl="0" w:tplc="36A00F0C">
      <w:numFmt w:val="bullet"/>
      <w:lvlText w:val="-"/>
      <w:lvlJc w:val="left"/>
      <w:pPr>
        <w:ind w:left="117" w:hanging="146"/>
      </w:pPr>
      <w:rPr>
        <w:rFonts w:ascii="Times New Roman" w:eastAsia="Times New Roman" w:hAnsi="Times New Roman" w:cs="Times New Roman" w:hint="default"/>
        <w:color w:val="62666B"/>
        <w:w w:val="106"/>
        <w:sz w:val="22"/>
        <w:szCs w:val="22"/>
      </w:rPr>
    </w:lvl>
    <w:lvl w:ilvl="1" w:tplc="8416BF06">
      <w:numFmt w:val="bullet"/>
      <w:lvlText w:val="•"/>
      <w:lvlJc w:val="left"/>
      <w:pPr>
        <w:ind w:left="944" w:hanging="146"/>
      </w:pPr>
      <w:rPr>
        <w:rFonts w:hint="default"/>
      </w:rPr>
    </w:lvl>
    <w:lvl w:ilvl="2" w:tplc="BB6CA83A">
      <w:numFmt w:val="bullet"/>
      <w:lvlText w:val="•"/>
      <w:lvlJc w:val="left"/>
      <w:pPr>
        <w:ind w:left="1769" w:hanging="146"/>
      </w:pPr>
      <w:rPr>
        <w:rFonts w:hint="default"/>
      </w:rPr>
    </w:lvl>
    <w:lvl w:ilvl="3" w:tplc="6CE28D5C">
      <w:numFmt w:val="bullet"/>
      <w:lvlText w:val="•"/>
      <w:lvlJc w:val="left"/>
      <w:pPr>
        <w:ind w:left="2593" w:hanging="146"/>
      </w:pPr>
      <w:rPr>
        <w:rFonts w:hint="default"/>
      </w:rPr>
    </w:lvl>
    <w:lvl w:ilvl="4" w:tplc="6832C512">
      <w:numFmt w:val="bullet"/>
      <w:lvlText w:val="•"/>
      <w:lvlJc w:val="left"/>
      <w:pPr>
        <w:ind w:left="3418" w:hanging="146"/>
      </w:pPr>
      <w:rPr>
        <w:rFonts w:hint="default"/>
      </w:rPr>
    </w:lvl>
    <w:lvl w:ilvl="5" w:tplc="CC3A72C4">
      <w:numFmt w:val="bullet"/>
      <w:lvlText w:val="•"/>
      <w:lvlJc w:val="left"/>
      <w:pPr>
        <w:ind w:left="4242" w:hanging="146"/>
      </w:pPr>
      <w:rPr>
        <w:rFonts w:hint="default"/>
      </w:rPr>
    </w:lvl>
    <w:lvl w:ilvl="6" w:tplc="2434480E">
      <w:numFmt w:val="bullet"/>
      <w:lvlText w:val="•"/>
      <w:lvlJc w:val="left"/>
      <w:pPr>
        <w:ind w:left="5067" w:hanging="146"/>
      </w:pPr>
      <w:rPr>
        <w:rFonts w:hint="default"/>
      </w:rPr>
    </w:lvl>
    <w:lvl w:ilvl="7" w:tplc="D442775A">
      <w:numFmt w:val="bullet"/>
      <w:lvlText w:val="•"/>
      <w:lvlJc w:val="left"/>
      <w:pPr>
        <w:ind w:left="5891" w:hanging="146"/>
      </w:pPr>
      <w:rPr>
        <w:rFonts w:hint="default"/>
      </w:rPr>
    </w:lvl>
    <w:lvl w:ilvl="8" w:tplc="49A6EFA4">
      <w:numFmt w:val="bullet"/>
      <w:lvlText w:val="•"/>
      <w:lvlJc w:val="left"/>
      <w:pPr>
        <w:ind w:left="6716" w:hanging="146"/>
      </w:pPr>
      <w:rPr>
        <w:rFonts w:hint="default"/>
      </w:rPr>
    </w:lvl>
  </w:abstractNum>
  <w:abstractNum w:abstractNumId="5" w15:restartNumberingAfterBreak="0">
    <w:nsid w:val="7CA81810"/>
    <w:multiLevelType w:val="hybridMultilevel"/>
    <w:tmpl w:val="B50AD4E8"/>
    <w:lvl w:ilvl="0" w:tplc="89E6E206">
      <w:numFmt w:val="bullet"/>
      <w:lvlText w:val="-"/>
      <w:lvlJc w:val="left"/>
      <w:pPr>
        <w:ind w:left="297" w:hanging="142"/>
      </w:pPr>
      <w:rPr>
        <w:rFonts w:ascii="Times New Roman" w:eastAsia="Times New Roman" w:hAnsi="Times New Roman" w:cs="Times New Roman" w:hint="default"/>
        <w:color w:val="60646B"/>
        <w:w w:val="113"/>
        <w:sz w:val="22"/>
        <w:szCs w:val="22"/>
      </w:rPr>
    </w:lvl>
    <w:lvl w:ilvl="1" w:tplc="ABE60866">
      <w:numFmt w:val="bullet"/>
      <w:lvlText w:val="•"/>
      <w:lvlJc w:val="left"/>
      <w:pPr>
        <w:ind w:left="1106" w:hanging="142"/>
      </w:pPr>
      <w:rPr>
        <w:rFonts w:hint="default"/>
      </w:rPr>
    </w:lvl>
    <w:lvl w:ilvl="2" w:tplc="869695CC">
      <w:numFmt w:val="bullet"/>
      <w:lvlText w:val="•"/>
      <w:lvlJc w:val="left"/>
      <w:pPr>
        <w:ind w:left="1912" w:hanging="142"/>
      </w:pPr>
      <w:rPr>
        <w:rFonts w:hint="default"/>
      </w:rPr>
    </w:lvl>
    <w:lvl w:ilvl="3" w:tplc="27E01E3A">
      <w:numFmt w:val="bullet"/>
      <w:lvlText w:val="•"/>
      <w:lvlJc w:val="left"/>
      <w:pPr>
        <w:ind w:left="2718" w:hanging="142"/>
      </w:pPr>
      <w:rPr>
        <w:rFonts w:hint="default"/>
      </w:rPr>
    </w:lvl>
    <w:lvl w:ilvl="4" w:tplc="E3D04E04">
      <w:numFmt w:val="bullet"/>
      <w:lvlText w:val="•"/>
      <w:lvlJc w:val="left"/>
      <w:pPr>
        <w:ind w:left="3524" w:hanging="142"/>
      </w:pPr>
      <w:rPr>
        <w:rFonts w:hint="default"/>
      </w:rPr>
    </w:lvl>
    <w:lvl w:ilvl="5" w:tplc="5874E036">
      <w:numFmt w:val="bullet"/>
      <w:lvlText w:val="•"/>
      <w:lvlJc w:val="left"/>
      <w:pPr>
        <w:ind w:left="4330" w:hanging="142"/>
      </w:pPr>
      <w:rPr>
        <w:rFonts w:hint="default"/>
      </w:rPr>
    </w:lvl>
    <w:lvl w:ilvl="6" w:tplc="0A1E604C">
      <w:numFmt w:val="bullet"/>
      <w:lvlText w:val="•"/>
      <w:lvlJc w:val="left"/>
      <w:pPr>
        <w:ind w:left="5136" w:hanging="142"/>
      </w:pPr>
      <w:rPr>
        <w:rFonts w:hint="default"/>
      </w:rPr>
    </w:lvl>
    <w:lvl w:ilvl="7" w:tplc="CAD2783E">
      <w:numFmt w:val="bullet"/>
      <w:lvlText w:val="•"/>
      <w:lvlJc w:val="left"/>
      <w:pPr>
        <w:ind w:left="5942" w:hanging="142"/>
      </w:pPr>
      <w:rPr>
        <w:rFonts w:hint="default"/>
      </w:rPr>
    </w:lvl>
    <w:lvl w:ilvl="8" w:tplc="6E6823E0">
      <w:numFmt w:val="bullet"/>
      <w:lvlText w:val="•"/>
      <w:lvlJc w:val="left"/>
      <w:pPr>
        <w:ind w:left="6748" w:hanging="14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AE1"/>
    <w:rsid w:val="00014466"/>
    <w:rsid w:val="000700F9"/>
    <w:rsid w:val="000E42BF"/>
    <w:rsid w:val="0010013B"/>
    <w:rsid w:val="001159EA"/>
    <w:rsid w:val="00187AE1"/>
    <w:rsid w:val="00191B16"/>
    <w:rsid w:val="001E6B2A"/>
    <w:rsid w:val="001F40F0"/>
    <w:rsid w:val="002962B4"/>
    <w:rsid w:val="002C0FE5"/>
    <w:rsid w:val="00316E02"/>
    <w:rsid w:val="00322E6D"/>
    <w:rsid w:val="00342BD8"/>
    <w:rsid w:val="0034689F"/>
    <w:rsid w:val="0035038E"/>
    <w:rsid w:val="00365690"/>
    <w:rsid w:val="00375F4F"/>
    <w:rsid w:val="003D14B5"/>
    <w:rsid w:val="003F2A6C"/>
    <w:rsid w:val="004405D6"/>
    <w:rsid w:val="00450AE7"/>
    <w:rsid w:val="00464EC8"/>
    <w:rsid w:val="00492886"/>
    <w:rsid w:val="004B39CC"/>
    <w:rsid w:val="004C137A"/>
    <w:rsid w:val="004E42C3"/>
    <w:rsid w:val="005054BB"/>
    <w:rsid w:val="005316EF"/>
    <w:rsid w:val="005872CF"/>
    <w:rsid w:val="005D52E3"/>
    <w:rsid w:val="006112EA"/>
    <w:rsid w:val="00646CA5"/>
    <w:rsid w:val="006645F0"/>
    <w:rsid w:val="006C22C0"/>
    <w:rsid w:val="006C4D86"/>
    <w:rsid w:val="006E279C"/>
    <w:rsid w:val="006F57CA"/>
    <w:rsid w:val="0070441B"/>
    <w:rsid w:val="007335AA"/>
    <w:rsid w:val="00750F42"/>
    <w:rsid w:val="007601BC"/>
    <w:rsid w:val="007A37F5"/>
    <w:rsid w:val="007F146B"/>
    <w:rsid w:val="008C645F"/>
    <w:rsid w:val="008D5A7B"/>
    <w:rsid w:val="009144C4"/>
    <w:rsid w:val="00914DA8"/>
    <w:rsid w:val="00926795"/>
    <w:rsid w:val="0096373D"/>
    <w:rsid w:val="009E470F"/>
    <w:rsid w:val="009E7262"/>
    <w:rsid w:val="00A030E6"/>
    <w:rsid w:val="00A55F86"/>
    <w:rsid w:val="00A62834"/>
    <w:rsid w:val="00A657E5"/>
    <w:rsid w:val="00A664E7"/>
    <w:rsid w:val="00A716C5"/>
    <w:rsid w:val="00AB628C"/>
    <w:rsid w:val="00AD58C7"/>
    <w:rsid w:val="00AD6370"/>
    <w:rsid w:val="00AF0622"/>
    <w:rsid w:val="00B02539"/>
    <w:rsid w:val="00B13D5D"/>
    <w:rsid w:val="00B64470"/>
    <w:rsid w:val="00B7349A"/>
    <w:rsid w:val="00BA1493"/>
    <w:rsid w:val="00BD23A1"/>
    <w:rsid w:val="00BF5AEE"/>
    <w:rsid w:val="00C21E6D"/>
    <w:rsid w:val="00C61A0A"/>
    <w:rsid w:val="00CC684B"/>
    <w:rsid w:val="00CD0E16"/>
    <w:rsid w:val="00CD50AE"/>
    <w:rsid w:val="00D50C74"/>
    <w:rsid w:val="00D73DC5"/>
    <w:rsid w:val="00D81802"/>
    <w:rsid w:val="00D85712"/>
    <w:rsid w:val="00DD7C27"/>
    <w:rsid w:val="00E0732F"/>
    <w:rsid w:val="00E408B6"/>
    <w:rsid w:val="00E46292"/>
    <w:rsid w:val="00E835C7"/>
    <w:rsid w:val="00EC2A1B"/>
    <w:rsid w:val="00EF0D3D"/>
    <w:rsid w:val="00EF1956"/>
    <w:rsid w:val="00EF21B9"/>
    <w:rsid w:val="00F26BED"/>
    <w:rsid w:val="00F400EE"/>
    <w:rsid w:val="00F6528D"/>
    <w:rsid w:val="00F730F9"/>
    <w:rsid w:val="00F74C38"/>
    <w:rsid w:val="00FB07C5"/>
    <w:rsid w:val="00FD3927"/>
    <w:rsid w:val="00FE1118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CD88"/>
  <w15:docId w15:val="{5132B4E4-5DB8-4816-B38B-604B353C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470"/>
  </w:style>
  <w:style w:type="paragraph" w:styleId="1">
    <w:name w:val="heading 1"/>
    <w:basedOn w:val="a"/>
    <w:link w:val="10"/>
    <w:uiPriority w:val="9"/>
    <w:qFormat/>
    <w:rsid w:val="00646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AE1"/>
    <w:rPr>
      <w:b/>
      <w:bCs/>
    </w:rPr>
  </w:style>
  <w:style w:type="character" w:styleId="a5">
    <w:name w:val="Hyperlink"/>
    <w:basedOn w:val="a0"/>
    <w:uiPriority w:val="99"/>
    <w:semiHidden/>
    <w:unhideWhenUsed/>
    <w:rsid w:val="009E470F"/>
    <w:rPr>
      <w:color w:val="0000FF"/>
      <w:u w:val="single"/>
    </w:rPr>
  </w:style>
  <w:style w:type="table" w:customStyle="1" w:styleId="-411">
    <w:name w:val="Таблица-сетка 4 — акцент 11"/>
    <w:basedOn w:val="a1"/>
    <w:uiPriority w:val="49"/>
    <w:rsid w:val="008D5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6">
    <w:name w:val="List Paragraph"/>
    <w:basedOn w:val="a"/>
    <w:uiPriority w:val="34"/>
    <w:qFormat/>
    <w:rsid w:val="006C4D86"/>
    <w:pPr>
      <w:ind w:left="720"/>
      <w:contextualSpacing/>
    </w:pPr>
  </w:style>
  <w:style w:type="table" w:styleId="a7">
    <w:name w:val="Table Grid"/>
    <w:basedOn w:val="a1"/>
    <w:uiPriority w:val="39"/>
    <w:rsid w:val="00CD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46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733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i5_1155</cp:lastModifiedBy>
  <cp:revision>16</cp:revision>
  <cp:lastPrinted>2020-01-16T15:29:00Z</cp:lastPrinted>
  <dcterms:created xsi:type="dcterms:W3CDTF">2020-01-16T13:58:00Z</dcterms:created>
  <dcterms:modified xsi:type="dcterms:W3CDTF">2021-03-12T05:38:00Z</dcterms:modified>
</cp:coreProperties>
</file>